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9D71" w14:textId="2D5D121B" w:rsidR="0014652F" w:rsidRDefault="0014652F" w:rsidP="001465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LISA SCOLARO – occupational hygienist, director</w:t>
      </w:r>
    </w:p>
    <w:p w14:paraId="6817585F" w14:textId="62A624E7" w:rsidR="0014652F" w:rsidRDefault="0014652F" w:rsidP="0014652F">
      <w:r w:rsidRPr="0014652F">
        <w:rPr>
          <w:b/>
          <w:bCs/>
          <w:sz w:val="36"/>
          <w:szCs w:val="36"/>
        </w:rPr>
        <w:t>ECOH Management</w:t>
      </w:r>
      <w:r>
        <w:t xml:space="preserve"> is an environmental consulting firm (</w:t>
      </w:r>
      <w:hyperlink r:id="rId4" w:history="1">
        <w:r>
          <w:rPr>
            <w:rStyle w:val="Hyperlink"/>
          </w:rPr>
          <w:t>www.ecoh.ca</w:t>
        </w:r>
      </w:hyperlink>
      <w:r>
        <w:t xml:space="preserve">).  </w:t>
      </w:r>
    </w:p>
    <w:p w14:paraId="2ABA48CA" w14:textId="68FA5EE5" w:rsidR="0014652F" w:rsidRDefault="0014652F" w:rsidP="0014652F">
      <w:r>
        <w:t xml:space="preserve">We have 3 </w:t>
      </w:r>
      <w:proofErr w:type="spellStart"/>
      <w:r>
        <w:t>pillers</w:t>
      </w:r>
      <w:proofErr w:type="spellEnd"/>
      <w:r>
        <w:t> that each provide different services:</w:t>
      </w:r>
    </w:p>
    <w:p w14:paraId="47872B6C" w14:textId="77777777" w:rsidR="0014652F" w:rsidRDefault="0014652F" w:rsidP="0014652F"/>
    <w:p w14:paraId="2799B75C" w14:textId="77777777" w:rsidR="0014652F" w:rsidRDefault="0014652F" w:rsidP="0014652F">
      <w:r>
        <w:rPr>
          <w:u w:val="single"/>
        </w:rPr>
        <w:t>Occupational Health and Safety</w:t>
      </w:r>
    </w:p>
    <w:p w14:paraId="4F1C1831" w14:textId="77777777" w:rsidR="0014652F" w:rsidRDefault="0014652F" w:rsidP="0014652F">
      <w:r>
        <w:t>- Water Damage Assessments</w:t>
      </w:r>
    </w:p>
    <w:p w14:paraId="03D8EC7E" w14:textId="77777777" w:rsidR="0014652F" w:rsidRDefault="0014652F" w:rsidP="0014652F">
      <w:r>
        <w:t>- Occupational Hygiene Surveys</w:t>
      </w:r>
    </w:p>
    <w:p w14:paraId="33F54556" w14:textId="77777777" w:rsidR="0014652F" w:rsidRDefault="0014652F" w:rsidP="0014652F">
      <w:r>
        <w:t>- Mould and Bacteria</w:t>
      </w:r>
    </w:p>
    <w:p w14:paraId="6371CA7C" w14:textId="77777777" w:rsidR="0014652F" w:rsidRDefault="0014652F" w:rsidP="0014652F">
      <w:r>
        <w:t>- Radon</w:t>
      </w:r>
    </w:p>
    <w:p w14:paraId="1F71D383" w14:textId="77777777" w:rsidR="0014652F" w:rsidRDefault="0014652F" w:rsidP="0014652F">
      <w:r>
        <w:t>- Health and Safety Audits</w:t>
      </w:r>
    </w:p>
    <w:p w14:paraId="6CCC019C" w14:textId="77777777" w:rsidR="0014652F" w:rsidRDefault="0014652F" w:rsidP="0014652F">
      <w:r>
        <w:t>- Indoor Air Quality Assessments</w:t>
      </w:r>
    </w:p>
    <w:p w14:paraId="6966A046" w14:textId="77777777" w:rsidR="0014652F" w:rsidRDefault="0014652F" w:rsidP="0014652F">
      <w:r>
        <w:t>- Noise Surveys</w:t>
      </w:r>
    </w:p>
    <w:p w14:paraId="211F9F22" w14:textId="77777777" w:rsidR="0014652F" w:rsidRDefault="0014652F" w:rsidP="0014652F">
      <w:r>
        <w:t>- Confined Space Assessments</w:t>
      </w:r>
    </w:p>
    <w:p w14:paraId="55289EF0" w14:textId="77777777" w:rsidR="0014652F" w:rsidRDefault="0014652F" w:rsidP="0014652F">
      <w:r>
        <w:t>- Health and Safety Program Development</w:t>
      </w:r>
    </w:p>
    <w:p w14:paraId="126630E3" w14:textId="77777777" w:rsidR="0014652F" w:rsidRDefault="0014652F" w:rsidP="0014652F">
      <w:r>
        <w:t>- Infection Control</w:t>
      </w:r>
    </w:p>
    <w:p w14:paraId="756E23D1" w14:textId="77777777" w:rsidR="0014652F" w:rsidRDefault="0014652F" w:rsidP="0014652F"/>
    <w:p w14:paraId="2D7D1630" w14:textId="77777777" w:rsidR="0014652F" w:rsidRDefault="0014652F" w:rsidP="0014652F">
      <w:r>
        <w:rPr>
          <w:u w:val="single"/>
        </w:rPr>
        <w:t>Hazardous Materials</w:t>
      </w:r>
    </w:p>
    <w:p w14:paraId="32C8F007" w14:textId="77777777" w:rsidR="0014652F" w:rsidRDefault="0014652F" w:rsidP="0014652F">
      <w:r>
        <w:t>- Assessments, Sampling and Analysis, Risk Assessments, Surveys</w:t>
      </w:r>
    </w:p>
    <w:p w14:paraId="61AD060C" w14:textId="77777777" w:rsidR="0014652F" w:rsidRDefault="0014652F" w:rsidP="0014652F">
      <w:r>
        <w:t>- Hazardous Materials Investigations</w:t>
      </w:r>
    </w:p>
    <w:p w14:paraId="45CDDB77" w14:textId="77777777" w:rsidR="0014652F" w:rsidRDefault="0014652F" w:rsidP="0014652F">
      <w:r>
        <w:t>- Hazardous Materials Training</w:t>
      </w:r>
    </w:p>
    <w:p w14:paraId="05694DA9" w14:textId="77777777" w:rsidR="0014652F" w:rsidRDefault="0014652F" w:rsidP="0014652F">
      <w:r>
        <w:t>- Inspections/Air Monitoring</w:t>
      </w:r>
    </w:p>
    <w:p w14:paraId="33D4EF50" w14:textId="77777777" w:rsidR="0014652F" w:rsidRDefault="0014652F" w:rsidP="0014652F">
      <w:r>
        <w:t>- Peer Review</w:t>
      </w:r>
    </w:p>
    <w:p w14:paraId="0AED9C45" w14:textId="77777777" w:rsidR="0014652F" w:rsidRDefault="0014652F" w:rsidP="0014652F">
      <w:r>
        <w:t>- Abatement Project Design</w:t>
      </w:r>
    </w:p>
    <w:p w14:paraId="5890AC20" w14:textId="77777777" w:rsidR="0014652F" w:rsidRDefault="0014652F" w:rsidP="0014652F">
      <w:r>
        <w:t>- Project Management</w:t>
      </w:r>
    </w:p>
    <w:p w14:paraId="41283625" w14:textId="77777777" w:rsidR="0014652F" w:rsidRDefault="0014652F" w:rsidP="0014652F"/>
    <w:p w14:paraId="3EB20035" w14:textId="77777777" w:rsidR="0014652F" w:rsidRDefault="0014652F" w:rsidP="0014652F">
      <w:r>
        <w:rPr>
          <w:u w:val="single"/>
        </w:rPr>
        <w:t>Environmental</w:t>
      </w:r>
    </w:p>
    <w:p w14:paraId="4DBED821" w14:textId="77777777" w:rsidR="0014652F" w:rsidRDefault="0014652F" w:rsidP="0014652F">
      <w:r>
        <w:t>- Environmental Site Assessments</w:t>
      </w:r>
    </w:p>
    <w:p w14:paraId="2D7652E4" w14:textId="77777777" w:rsidR="0014652F" w:rsidRDefault="0014652F" w:rsidP="0014652F">
      <w:r>
        <w:t>- Soil and Groundwater Remediation</w:t>
      </w:r>
    </w:p>
    <w:p w14:paraId="2F56B3B2" w14:textId="77777777" w:rsidR="0014652F" w:rsidRDefault="0014652F" w:rsidP="0014652F">
      <w:r>
        <w:t>- Above Ground and Underground Storage Tank Management</w:t>
      </w:r>
    </w:p>
    <w:p w14:paraId="2C38765A" w14:textId="77777777" w:rsidR="0014652F" w:rsidRDefault="0014652F" w:rsidP="0014652F">
      <w:r>
        <w:t>- Decommissioning/Demolition Management</w:t>
      </w:r>
    </w:p>
    <w:p w14:paraId="0D212780" w14:textId="77777777" w:rsidR="0014652F" w:rsidRDefault="0014652F" w:rsidP="0014652F">
      <w:r>
        <w:t>- Peer Review</w:t>
      </w:r>
    </w:p>
    <w:p w14:paraId="4BF513F2" w14:textId="77777777" w:rsidR="0014652F" w:rsidRDefault="0014652F" w:rsidP="0014652F">
      <w:r>
        <w:t>- Record of Site Conditions</w:t>
      </w:r>
    </w:p>
    <w:p w14:paraId="140AF878" w14:textId="77777777" w:rsidR="0014652F" w:rsidRDefault="0014652F" w:rsidP="0014652F">
      <w:r>
        <w:t>- Environmental Risk Assessment</w:t>
      </w:r>
    </w:p>
    <w:p w14:paraId="03EAC700" w14:textId="77777777" w:rsidR="0014652F" w:rsidRDefault="0014652F" w:rsidP="0014652F">
      <w:r>
        <w:t>- Potable Water Sampling</w:t>
      </w:r>
    </w:p>
    <w:p w14:paraId="60E0EF57" w14:textId="77777777" w:rsidR="0014652F" w:rsidRDefault="0014652F" w:rsidP="0014652F">
      <w:r>
        <w:t>- Environmental Compliance Approvals</w:t>
      </w:r>
    </w:p>
    <w:p w14:paraId="304ABA1E" w14:textId="77777777" w:rsidR="0014652F" w:rsidRDefault="0014652F" w:rsidP="0014652F">
      <w:r>
        <w:t>- Legal Testimonies</w:t>
      </w:r>
    </w:p>
    <w:p w14:paraId="3DD2DEC0" w14:textId="77777777" w:rsidR="0014652F" w:rsidRDefault="0014652F" w:rsidP="0014652F">
      <w:r>
        <w:t> </w:t>
      </w:r>
    </w:p>
    <w:p w14:paraId="791C4C60" w14:textId="77777777" w:rsidR="002C7E02" w:rsidRDefault="002C7E02">
      <w:pPr>
        <w:rPr>
          <w:rFonts w:ascii="Poppins" w:hAnsi="Poppins" w:cs="Poppins"/>
          <w:color w:val="595959"/>
          <w:sz w:val="27"/>
          <w:szCs w:val="27"/>
          <w:shd w:val="clear" w:color="auto" w:fill="FFFFFF"/>
        </w:rPr>
      </w:pPr>
    </w:p>
    <w:p w14:paraId="2DFA9E61" w14:textId="53DDA553" w:rsidR="002C7E02" w:rsidRPr="002C7E02" w:rsidRDefault="00A80DEA" w:rsidP="002C7E02">
      <w:pPr>
        <w:jc w:val="center"/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</w:pPr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 xml:space="preserve">Mississauga Office: 75 </w:t>
      </w:r>
      <w:proofErr w:type="spellStart"/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>Courtneypark</w:t>
      </w:r>
      <w:proofErr w:type="spellEnd"/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 xml:space="preserve"> Drive West,</w:t>
      </w:r>
      <w:r w:rsidRPr="002C7E02">
        <w:rPr>
          <w:rFonts w:ascii="Poppins" w:hAnsi="Poppins" w:cs="Poppins"/>
          <w:b/>
          <w:bCs/>
          <w:color w:val="595959"/>
          <w:sz w:val="27"/>
          <w:szCs w:val="27"/>
        </w:rPr>
        <w:br/>
      </w:r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 xml:space="preserve">Unit #1, Mississauga, ON L5W </w:t>
      </w:r>
      <w:proofErr w:type="gramStart"/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>0E3</w:t>
      </w:r>
      <w:proofErr w:type="gramEnd"/>
    </w:p>
    <w:p w14:paraId="6D20F998" w14:textId="029ABBD2" w:rsidR="00B075A4" w:rsidRPr="002C7E02" w:rsidRDefault="00B075A4" w:rsidP="002C7E02">
      <w:pPr>
        <w:jc w:val="center"/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</w:pPr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>O: </w:t>
      </w:r>
      <w:hyperlink r:id="rId5" w:history="1">
        <w:r w:rsidRPr="002C7E02">
          <w:rPr>
            <w:rStyle w:val="Hyperlink"/>
            <w:rFonts w:ascii="Poppins" w:hAnsi="Poppins" w:cs="Poppins"/>
            <w:b/>
            <w:bCs/>
            <w:color w:val="595959"/>
            <w:bdr w:val="none" w:sz="0" w:space="0" w:color="auto" w:frame="1"/>
          </w:rPr>
          <w:t>905.795.2800</w:t>
        </w:r>
      </w:hyperlink>
      <w:r w:rsidRPr="002C7E02">
        <w:rPr>
          <w:b/>
          <w:bCs/>
        </w:rPr>
        <w:t xml:space="preserve">  </w:t>
      </w:r>
      <w:r w:rsidRPr="002C7E02">
        <w:rPr>
          <w:rFonts w:ascii="Poppins" w:hAnsi="Poppins" w:cs="Poppins"/>
          <w:b/>
          <w:bCs/>
          <w:color w:val="595959"/>
          <w:sz w:val="27"/>
          <w:szCs w:val="27"/>
          <w:shd w:val="clear" w:color="auto" w:fill="FFFFFF"/>
        </w:rPr>
        <w:t>TF: </w:t>
      </w:r>
      <w:hyperlink r:id="rId6" w:history="1">
        <w:r w:rsidRPr="002C7E02">
          <w:rPr>
            <w:rStyle w:val="Hyperlink"/>
            <w:rFonts w:ascii="Poppins" w:hAnsi="Poppins" w:cs="Poppins"/>
            <w:b/>
            <w:bCs/>
            <w:color w:val="595959"/>
            <w:bdr w:val="none" w:sz="0" w:space="0" w:color="auto" w:frame="1"/>
          </w:rPr>
          <w:t>1.866.231.6855</w:t>
        </w:r>
      </w:hyperlink>
    </w:p>
    <w:p w14:paraId="2A68D7B1" w14:textId="60997DEC" w:rsidR="002C7E02" w:rsidRPr="002C7E02" w:rsidRDefault="002C7E02" w:rsidP="002C7E02">
      <w:pPr>
        <w:jc w:val="center"/>
        <w:rPr>
          <w:b/>
          <w:bCs/>
          <w:sz w:val="16"/>
          <w:szCs w:val="16"/>
        </w:rPr>
      </w:pPr>
      <w:r w:rsidRPr="002C7E02">
        <w:rPr>
          <w:rFonts w:ascii="Poppins" w:hAnsi="Poppins" w:cs="Poppins"/>
          <w:b/>
          <w:bCs/>
          <w:color w:val="595959"/>
          <w:sz w:val="16"/>
          <w:szCs w:val="16"/>
          <w:shd w:val="clear" w:color="auto" w:fill="FFFFFF"/>
        </w:rPr>
        <w:t>General Inquiries: </w:t>
      </w:r>
      <w:hyperlink r:id="rId7" w:history="1">
        <w:r w:rsidRPr="002C7E02">
          <w:rPr>
            <w:rStyle w:val="Hyperlink"/>
            <w:rFonts w:ascii="Poppins" w:hAnsi="Poppins" w:cs="Poppins"/>
            <w:b/>
            <w:bCs/>
            <w:color w:val="595959"/>
            <w:sz w:val="16"/>
            <w:szCs w:val="16"/>
            <w:bdr w:val="none" w:sz="0" w:space="0" w:color="auto" w:frame="1"/>
            <w:shd w:val="clear" w:color="auto" w:fill="FFFFFF"/>
          </w:rPr>
          <w:t>info@ecoh.ca</w:t>
        </w:r>
      </w:hyperlink>
      <w:r w:rsidRPr="002C7E02">
        <w:rPr>
          <w:rFonts w:ascii="Poppins" w:hAnsi="Poppins" w:cs="Poppins"/>
          <w:b/>
          <w:bCs/>
          <w:color w:val="595959"/>
          <w:sz w:val="16"/>
          <w:szCs w:val="16"/>
        </w:rPr>
        <w:br/>
      </w:r>
      <w:r w:rsidRPr="002C7E02">
        <w:rPr>
          <w:rFonts w:ascii="Poppins" w:hAnsi="Poppins" w:cs="Poppins"/>
          <w:b/>
          <w:bCs/>
          <w:color w:val="595959"/>
          <w:sz w:val="16"/>
          <w:szCs w:val="16"/>
          <w:shd w:val="clear" w:color="auto" w:fill="FFFFFF"/>
        </w:rPr>
        <w:t>Careers: </w:t>
      </w:r>
      <w:hyperlink r:id="rId8" w:history="1">
        <w:r w:rsidRPr="002C7E02">
          <w:rPr>
            <w:rStyle w:val="Hyperlink"/>
            <w:rFonts w:ascii="Poppins" w:hAnsi="Poppins" w:cs="Poppins"/>
            <w:b/>
            <w:bCs/>
            <w:color w:val="595959"/>
            <w:sz w:val="16"/>
            <w:szCs w:val="16"/>
            <w:bdr w:val="none" w:sz="0" w:space="0" w:color="auto" w:frame="1"/>
            <w:shd w:val="clear" w:color="auto" w:fill="FFFFFF"/>
          </w:rPr>
          <w:t>resumes@ecoh.ca</w:t>
        </w:r>
      </w:hyperlink>
      <w:r w:rsidRPr="002C7E02">
        <w:rPr>
          <w:rFonts w:ascii="Poppins" w:hAnsi="Poppins" w:cs="Poppins"/>
          <w:b/>
          <w:bCs/>
          <w:color w:val="595959"/>
          <w:sz w:val="16"/>
          <w:szCs w:val="16"/>
        </w:rPr>
        <w:br/>
      </w:r>
      <w:r w:rsidRPr="002C7E02">
        <w:rPr>
          <w:rFonts w:ascii="Poppins" w:hAnsi="Poppins" w:cs="Poppins"/>
          <w:b/>
          <w:bCs/>
          <w:color w:val="595959"/>
          <w:sz w:val="16"/>
          <w:szCs w:val="16"/>
          <w:shd w:val="clear" w:color="auto" w:fill="FFFFFF"/>
        </w:rPr>
        <w:t>Seminars: </w:t>
      </w:r>
      <w:hyperlink r:id="rId9" w:history="1">
        <w:r w:rsidRPr="002C7E02">
          <w:rPr>
            <w:rStyle w:val="Hyperlink"/>
            <w:rFonts w:ascii="Poppins" w:hAnsi="Poppins" w:cs="Poppins"/>
            <w:b/>
            <w:bCs/>
            <w:color w:val="595959"/>
            <w:sz w:val="16"/>
            <w:szCs w:val="16"/>
            <w:bdr w:val="none" w:sz="0" w:space="0" w:color="auto" w:frame="1"/>
            <w:shd w:val="clear" w:color="auto" w:fill="FFFFFF"/>
          </w:rPr>
          <w:t>learning@ecoh.ca</w:t>
        </w:r>
      </w:hyperlink>
    </w:p>
    <w:sectPr w:rsidR="002C7E02" w:rsidRPr="002C7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F"/>
    <w:rsid w:val="0014652F"/>
    <w:rsid w:val="002C7E02"/>
    <w:rsid w:val="00A80DEA"/>
    <w:rsid w:val="00B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0DDA"/>
  <w15:chartTrackingRefBased/>
  <w15:docId w15:val="{F69E5083-56B9-4C5E-9ECF-100892F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2F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s@ecoh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ecoh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18662316855" TargetMode="External"/><Relationship Id="rId11" Type="http://schemas.openxmlformats.org/officeDocument/2006/relationships/theme" Target="theme/theme1.xml"/><Relationship Id="rId5" Type="http://schemas.openxmlformats.org/officeDocument/2006/relationships/hyperlink" Target="tel:90579528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coh.ca" TargetMode="External"/><Relationship Id="rId9" Type="http://schemas.openxmlformats.org/officeDocument/2006/relationships/hyperlink" Target="mailto:learning@eco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4</cp:revision>
  <dcterms:created xsi:type="dcterms:W3CDTF">2023-04-26T16:31:00Z</dcterms:created>
  <dcterms:modified xsi:type="dcterms:W3CDTF">2023-04-26T16:35:00Z</dcterms:modified>
</cp:coreProperties>
</file>